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AB" w:rsidRPr="006E0818" w:rsidRDefault="007A0AAB" w:rsidP="007A0AAB">
      <w:pPr>
        <w:spacing w:after="0" w:line="240" w:lineRule="auto"/>
        <w:rPr>
          <w:b/>
          <w:sz w:val="24"/>
          <w:szCs w:val="24"/>
          <w:lang w:val="uk-UA"/>
        </w:rPr>
      </w:pPr>
      <w:r w:rsidRPr="006E0818">
        <w:rPr>
          <w:b/>
          <w:sz w:val="24"/>
          <w:szCs w:val="24"/>
          <w:lang w:val="uk-UA"/>
        </w:rPr>
        <w:t>УДК 614.849</w:t>
      </w:r>
    </w:p>
    <w:p w:rsidR="007A0AAB" w:rsidRPr="006E0818" w:rsidRDefault="007A0AAB" w:rsidP="007A0AAB">
      <w:pPr>
        <w:spacing w:after="0" w:line="240" w:lineRule="auto"/>
        <w:rPr>
          <w:b/>
          <w:sz w:val="24"/>
          <w:szCs w:val="24"/>
          <w:lang w:val="uk-UA"/>
        </w:rPr>
      </w:pP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Дендаренко Ю.Ю., канд. техн. наук, доцент,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Черкаський інститут пожежної безпеки імені Героїв Чорнобиля НУЦЗ України;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Сенчихін Ю.М., канд. техн. наук, професор,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Національний університет цивільного захисту України;</w:t>
      </w:r>
    </w:p>
    <w:p w:rsidR="00B207B7" w:rsidRPr="006E0818" w:rsidRDefault="00B207B7" w:rsidP="00B207B7">
      <w:pPr>
        <w:spacing w:after="0" w:line="240" w:lineRule="auto"/>
        <w:jc w:val="center"/>
        <w:rPr>
          <w:i/>
          <w:sz w:val="24"/>
          <w:lang w:val="uk-UA"/>
        </w:rPr>
      </w:pPr>
      <w:proofErr w:type="spellStart"/>
      <w:r w:rsidRPr="006E0818">
        <w:rPr>
          <w:i/>
          <w:sz w:val="24"/>
          <w:lang w:val="uk-UA"/>
        </w:rPr>
        <w:t>Дивень</w:t>
      </w:r>
      <w:proofErr w:type="spellEnd"/>
      <w:r w:rsidRPr="006E0818">
        <w:rPr>
          <w:i/>
          <w:sz w:val="24"/>
          <w:lang w:val="uk-UA"/>
        </w:rPr>
        <w:t xml:space="preserve"> В.І., канд. </w:t>
      </w:r>
      <w:proofErr w:type="spellStart"/>
      <w:r w:rsidRPr="006E0818">
        <w:rPr>
          <w:i/>
          <w:sz w:val="24"/>
          <w:lang w:val="uk-UA"/>
        </w:rPr>
        <w:t>іст</w:t>
      </w:r>
      <w:proofErr w:type="spellEnd"/>
      <w:r w:rsidRPr="006E0818">
        <w:rPr>
          <w:i/>
          <w:sz w:val="24"/>
          <w:lang w:val="uk-UA"/>
        </w:rPr>
        <w:t>. наук, доцент,</w:t>
      </w:r>
    </w:p>
    <w:p w:rsidR="00B207B7" w:rsidRPr="006E0818" w:rsidRDefault="00B207B7" w:rsidP="00B207B7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Черкаський інститут пожежної безпеки імені Героїв Чорнобиля НУЦЗ України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proofErr w:type="spellStart"/>
      <w:r w:rsidRPr="006E0818">
        <w:rPr>
          <w:i/>
          <w:sz w:val="24"/>
          <w:lang w:val="uk-UA"/>
        </w:rPr>
        <w:t>Блащук</w:t>
      </w:r>
      <w:proofErr w:type="spellEnd"/>
      <w:r w:rsidRPr="006E0818">
        <w:rPr>
          <w:i/>
          <w:sz w:val="24"/>
          <w:lang w:val="uk-UA"/>
        </w:rPr>
        <w:t xml:space="preserve"> О.Д.,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Черкаський інститут пожежної безпеки імені Героїв Чорнобиля НУЦЗ України;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proofErr w:type="spellStart"/>
      <w:r w:rsidRPr="006E0818">
        <w:rPr>
          <w:i/>
          <w:sz w:val="24"/>
          <w:lang w:val="uk-UA"/>
        </w:rPr>
        <w:t>Щепак</w:t>
      </w:r>
      <w:proofErr w:type="spellEnd"/>
      <w:r w:rsidRPr="006E0818">
        <w:rPr>
          <w:i/>
          <w:sz w:val="24"/>
          <w:lang w:val="uk-UA"/>
        </w:rPr>
        <w:t xml:space="preserve"> С.В.,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  <w:r w:rsidRPr="006E0818">
        <w:rPr>
          <w:i/>
          <w:sz w:val="24"/>
          <w:lang w:val="uk-UA"/>
        </w:rPr>
        <w:t>Черкаський інститут пожежної безпеки імені Героїв Чорнобиля НУЦЗ України</w:t>
      </w:r>
    </w:p>
    <w:p w:rsidR="007A0AAB" w:rsidRPr="006E0818" w:rsidRDefault="007A0AAB" w:rsidP="007A0AAB">
      <w:pPr>
        <w:spacing w:after="0" w:line="240" w:lineRule="auto"/>
        <w:jc w:val="center"/>
        <w:rPr>
          <w:i/>
          <w:sz w:val="24"/>
          <w:lang w:val="uk-UA"/>
        </w:rPr>
      </w:pPr>
    </w:p>
    <w:p w:rsidR="004D09EB" w:rsidRDefault="00C547B2" w:rsidP="007A0AAB">
      <w:pPr>
        <w:spacing w:after="0" w:line="240" w:lineRule="auto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ВПЛИВ </w:t>
      </w:r>
      <w:r w:rsidR="00B207B7" w:rsidRPr="006E0818">
        <w:rPr>
          <w:b/>
          <w:sz w:val="24"/>
          <w:lang w:val="uk-UA"/>
        </w:rPr>
        <w:t>НОРМАТИВН</w:t>
      </w:r>
      <w:r>
        <w:rPr>
          <w:b/>
          <w:sz w:val="24"/>
          <w:lang w:val="uk-UA"/>
        </w:rPr>
        <w:t>ИХ</w:t>
      </w:r>
      <w:r w:rsidR="00B207B7" w:rsidRPr="006E0818">
        <w:rPr>
          <w:b/>
          <w:sz w:val="24"/>
          <w:lang w:val="uk-UA"/>
        </w:rPr>
        <w:t xml:space="preserve"> ПОКАЗНИК</w:t>
      </w:r>
      <w:r>
        <w:rPr>
          <w:b/>
          <w:sz w:val="24"/>
          <w:lang w:val="uk-UA"/>
        </w:rPr>
        <w:t>ІВ</w:t>
      </w:r>
      <w:r w:rsidR="00B207B7" w:rsidRPr="006E0818">
        <w:rPr>
          <w:b/>
          <w:sz w:val="24"/>
          <w:lang w:val="uk-UA"/>
        </w:rPr>
        <w:t xml:space="preserve"> ТАКТИЧНИХ МОЖЛИВОСТЕЙ ПІДРОЗДІЛІВ ОПЕРАТИВНО-РЯТУВАЛЬНОЇ СЛУЖБИ</w:t>
      </w:r>
    </w:p>
    <w:p w:rsidR="00B207B7" w:rsidRPr="006E0818" w:rsidRDefault="00C547B2" w:rsidP="007A0AAB">
      <w:pPr>
        <w:spacing w:after="0" w:line="240" w:lineRule="auto"/>
        <w:jc w:val="center"/>
        <w:rPr>
          <w:b/>
          <w:sz w:val="24"/>
          <w:lang w:val="uk-UA"/>
        </w:rPr>
      </w:pPr>
      <w:bookmarkStart w:id="0" w:name="_GoBack"/>
      <w:bookmarkEnd w:id="0"/>
      <w:r>
        <w:rPr>
          <w:b/>
          <w:sz w:val="24"/>
          <w:lang w:val="uk-UA"/>
        </w:rPr>
        <w:t>НА ОПЕРАТИВНУ ГОТОВНІСТЬ</w:t>
      </w:r>
    </w:p>
    <w:p w:rsidR="00B207B7" w:rsidRPr="006E0818" w:rsidRDefault="00B207B7" w:rsidP="007A0AAB">
      <w:pPr>
        <w:spacing w:after="0" w:line="240" w:lineRule="auto"/>
        <w:jc w:val="center"/>
        <w:rPr>
          <w:i/>
          <w:sz w:val="24"/>
          <w:lang w:val="uk-UA"/>
        </w:rPr>
      </w:pP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Припиненню горіння на пожежах передує виконання декількох видів </w:t>
      </w:r>
      <w:proofErr w:type="spellStart"/>
      <w:r w:rsidRPr="006E0818">
        <w:rPr>
          <w:lang w:val="uk-UA"/>
        </w:rPr>
        <w:t>оперативно</w:t>
      </w:r>
      <w:proofErr w:type="spellEnd"/>
      <w:r w:rsidRPr="006E0818">
        <w:rPr>
          <w:lang w:val="uk-UA"/>
        </w:rPr>
        <w:t>-тактичних</w:t>
      </w:r>
      <w:r w:rsidRPr="006E0818">
        <w:rPr>
          <w:lang w:val="uk-UA" w:eastAsia="uk-UA"/>
        </w:rPr>
        <w:t xml:space="preserve"> дій підрозділів, одним з яких є подавання вогнегасних речовин в зону горіння або на поверхню матеріалу, що горить.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Однією з умов локалізації пожежі є подавання в достатній кількості вогнегасних речовин </w:t>
      </w:r>
      <w:r w:rsidRPr="006E0818">
        <w:rPr>
          <w:iCs/>
          <w:lang w:val="uk-UA" w:eastAsia="uk-UA"/>
        </w:rPr>
        <w:t>(</w:t>
      </w:r>
      <w:proofErr w:type="spellStart"/>
      <w:r w:rsidRPr="006E0818">
        <w:rPr>
          <w:iCs/>
          <w:lang w:val="uk-UA" w:eastAsia="uk-UA"/>
        </w:rPr>
        <w:t>Q</w:t>
      </w:r>
      <w:r w:rsidRPr="006E0818">
        <w:rPr>
          <w:iCs/>
          <w:vertAlign w:val="subscript"/>
          <w:lang w:val="uk-UA" w:eastAsia="uk-UA"/>
        </w:rPr>
        <w:t>ф</w:t>
      </w:r>
      <w:proofErr w:type="spellEnd"/>
      <w:r w:rsidRPr="006E0818">
        <w:rPr>
          <w:iCs/>
          <w:lang w:val="uk-UA" w:eastAsia="uk-UA"/>
        </w:rPr>
        <w:t xml:space="preserve"> ≥ </w:t>
      </w:r>
      <w:proofErr w:type="spellStart"/>
      <w:r w:rsidRPr="006E0818">
        <w:rPr>
          <w:iCs/>
          <w:lang w:val="uk-UA" w:eastAsia="uk-UA"/>
        </w:rPr>
        <w:t>Q</w:t>
      </w:r>
      <w:r w:rsidRPr="006E0818">
        <w:rPr>
          <w:iCs/>
          <w:vertAlign w:val="subscript"/>
          <w:lang w:val="uk-UA" w:eastAsia="uk-UA"/>
        </w:rPr>
        <w:t>н</w:t>
      </w:r>
      <w:proofErr w:type="spellEnd"/>
      <w:r w:rsidRPr="006E0818">
        <w:rPr>
          <w:iCs/>
          <w:lang w:val="uk-UA" w:eastAsia="uk-UA"/>
        </w:rPr>
        <w:t xml:space="preserve">) </w:t>
      </w:r>
      <w:r w:rsidRPr="006E0818">
        <w:rPr>
          <w:lang w:val="uk-UA" w:eastAsia="uk-UA"/>
        </w:rPr>
        <w:t>[1]</w:t>
      </w:r>
      <w:r w:rsidRPr="006E0818">
        <w:rPr>
          <w:iCs/>
          <w:lang w:val="uk-UA" w:eastAsia="uk-UA"/>
        </w:rPr>
        <w:t>,</w:t>
      </w:r>
      <w:r w:rsidRPr="006E0818">
        <w:rPr>
          <w:i/>
          <w:iCs/>
          <w:w w:val="82"/>
          <w:lang w:val="uk-UA" w:eastAsia="uk-UA"/>
        </w:rPr>
        <w:t xml:space="preserve"> </w:t>
      </w:r>
      <w:r w:rsidRPr="006E0818">
        <w:rPr>
          <w:lang w:val="uk-UA" w:eastAsia="uk-UA"/>
        </w:rPr>
        <w:t xml:space="preserve">яка може здійснюватися такими способами: 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• одночасно від одного або декількох пожежних автомобілів; 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• послідовно від одного або декількох автомобілів, тобто по мірі прибуття підрозділів на пожежу. 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Прийоми виконання вказаних способів введення вогнегасних речовин можуть бути різноманітними. Наприклад, подавання води на поверхню твердих горючих матеріалів, що горять, може бути здійснена однотипними стволами типу РСК-50, РС-70, лафетними або їх комбінацією, що подають компактні або розпилені водяні струмені. Основними факторами при визначенні прийому введення вогнегасної речовини є тип </w:t>
      </w:r>
      <w:r w:rsidR="006D0812" w:rsidRPr="006E0818">
        <w:rPr>
          <w:lang w:val="uk-UA" w:eastAsia="uk-UA"/>
        </w:rPr>
        <w:t>об’єкта</w:t>
      </w:r>
      <w:r w:rsidRPr="006E0818">
        <w:rPr>
          <w:lang w:val="uk-UA" w:eastAsia="uk-UA"/>
        </w:rPr>
        <w:t xml:space="preserve"> і умови оперативної обстановки на пожежі. Ці умови визначають місце введення вогнегасних речовин (по фронту або периметру пожежі), а також прийоми обробки поверхні твердого горючого матеріалу, що горить, вогнегасною речовиною. 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Фактори, що визначають тактичні можливості підрозділів по введенню необхідних витрат вогнегасних речовин, є чисельність </w:t>
      </w:r>
      <w:r w:rsidRPr="006E0818">
        <w:rPr>
          <w:lang w:val="uk-UA"/>
        </w:rPr>
        <w:t>оперативних</w:t>
      </w:r>
      <w:r w:rsidRPr="006E0818">
        <w:rPr>
          <w:lang w:val="uk-UA" w:eastAsia="uk-UA"/>
        </w:rPr>
        <w:t xml:space="preserve"> розрахунків відділень на автоцистернах різних моделей, тип і кількість одночасно працюючих стволів [2; 3].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>Для одного підрозділу є характерна наступна залежність між цими параметрами:</w:t>
      </w: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/>
        </w:rPr>
      </w:pPr>
    </w:p>
    <w:p w:rsidR="007A0AAB" w:rsidRPr="006E0818" w:rsidRDefault="007A0AAB" w:rsidP="007A0AAB">
      <w:pPr>
        <w:pStyle w:val="a3"/>
        <w:jc w:val="right"/>
        <w:outlineLvl w:val="0"/>
        <w:rPr>
          <w:lang w:val="uk-UA"/>
        </w:rPr>
      </w:pPr>
      <m:oMath>
        <m:r>
          <w:rPr>
            <w:rFonts w:ascii="Cambria Math" w:hAnsi="Cambria Math"/>
            <w:lang w:val="uk-UA"/>
          </w:rPr>
          <m:t>Q=1,36+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0,09+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осіб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uk-UA"/>
                  </w:rPr>
                  <m:t>4,5</m:t>
                </m:r>
              </m:den>
            </m:f>
            <m:r>
              <w:rPr>
                <w:rFonts w:ascii="Cambria Math" w:hAnsi="Cambria Math"/>
                <w:lang w:val="uk-UA"/>
              </w:rPr>
              <m:t>+0,72</m:t>
            </m:r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ств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uk-UA"/>
          </w:rPr>
          <m:t>7,1</m:t>
        </m:r>
      </m:oMath>
      <w:r w:rsidRPr="006E0818">
        <w:rPr>
          <w:lang w:val="uk-UA"/>
        </w:rPr>
        <w:tab/>
      </w:r>
      <w:r w:rsidRPr="006E0818">
        <w:rPr>
          <w:lang w:val="uk-UA"/>
        </w:rPr>
        <w:tab/>
      </w:r>
      <w:r w:rsidRPr="006E0818">
        <w:rPr>
          <w:lang w:val="uk-UA"/>
        </w:rPr>
        <w:tab/>
      </w:r>
      <w:r w:rsidRPr="006E0818">
        <w:rPr>
          <w:lang w:val="uk-UA"/>
        </w:rPr>
        <w:tab/>
        <w:t>(1)</w:t>
      </w:r>
    </w:p>
    <w:p w:rsidR="007A0AAB" w:rsidRPr="006E0818" w:rsidRDefault="007A0AAB" w:rsidP="007A0AAB">
      <w:pPr>
        <w:pStyle w:val="a3"/>
        <w:ind w:firstLineChars="414" w:firstLine="854"/>
        <w:jc w:val="center"/>
        <w:outlineLvl w:val="0"/>
        <w:rPr>
          <w:i/>
          <w:iCs/>
          <w:w w:val="86"/>
          <w:lang w:val="uk-UA" w:eastAsia="uk-UA"/>
        </w:rPr>
      </w:pPr>
    </w:p>
    <w:p w:rsidR="007A0AAB" w:rsidRPr="006E0818" w:rsidRDefault="007A0AAB" w:rsidP="007A0AAB">
      <w:pPr>
        <w:pStyle w:val="a3"/>
        <w:ind w:firstLineChars="239" w:firstLine="605"/>
        <w:jc w:val="both"/>
        <w:rPr>
          <w:lang w:val="uk-UA" w:eastAsia="uk-UA"/>
        </w:rPr>
      </w:pPr>
      <w:r w:rsidRPr="006E0818">
        <w:rPr>
          <w:w w:val="106"/>
          <w:lang w:val="uk-UA" w:eastAsia="uk-UA"/>
        </w:rPr>
        <w:t xml:space="preserve">По </w:t>
      </w:r>
      <w:r w:rsidRPr="006E0818">
        <w:rPr>
          <w:lang w:val="uk-UA" w:eastAsia="uk-UA"/>
        </w:rPr>
        <w:t xml:space="preserve">рівнянню </w:t>
      </w:r>
      <w:r w:rsidRPr="006E0818">
        <w:rPr>
          <w:w w:val="106"/>
          <w:lang w:val="uk-UA" w:eastAsia="uk-UA"/>
        </w:rPr>
        <w:t xml:space="preserve">(1) </w:t>
      </w:r>
      <w:r w:rsidRPr="006E0818">
        <w:rPr>
          <w:lang w:val="uk-UA" w:eastAsia="uk-UA"/>
        </w:rPr>
        <w:t xml:space="preserve">розрахована </w:t>
      </w:r>
      <w:r w:rsidRPr="006E0818">
        <w:rPr>
          <w:lang w:val="uk-UA"/>
        </w:rPr>
        <w:t xml:space="preserve">величина </w:t>
      </w:r>
      <w:r w:rsidRPr="006E0818">
        <w:rPr>
          <w:lang w:val="uk-UA" w:eastAsia="uk-UA"/>
        </w:rPr>
        <w:t xml:space="preserve">витрати </w:t>
      </w:r>
      <w:r w:rsidRPr="006E0818">
        <w:rPr>
          <w:lang w:val="uk-UA"/>
        </w:rPr>
        <w:t>води</w:t>
      </w:r>
      <w:r w:rsidRPr="006E0818">
        <w:rPr>
          <w:lang w:val="uk-UA" w:eastAsia="uk-UA"/>
        </w:rPr>
        <w:t xml:space="preserve">, що подається на ліквідацію горіння: </w:t>
      </w:r>
    </w:p>
    <w:p w:rsidR="007A0AAB" w:rsidRPr="006E0818" w:rsidRDefault="007A0AAB" w:rsidP="007A0AAB">
      <w:pPr>
        <w:pStyle w:val="a3"/>
        <w:ind w:firstLineChars="239" w:firstLine="574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• відділенням на автоцистерни з чисельністю </w:t>
      </w:r>
      <w:r w:rsidRPr="006E0818">
        <w:rPr>
          <w:lang w:val="uk-UA"/>
        </w:rPr>
        <w:t>оперативного</w:t>
      </w:r>
      <w:r w:rsidRPr="006E0818">
        <w:rPr>
          <w:lang w:val="uk-UA" w:eastAsia="uk-UA"/>
        </w:rPr>
        <w:t xml:space="preserve"> розрахунку від одного до чотирьох осіб (АЦ-40 (130) 63Б, АЦ-40/4 (43118) 248);</w:t>
      </w:r>
    </w:p>
    <w:p w:rsidR="007A0AAB" w:rsidRPr="006E0818" w:rsidRDefault="007A0AAB" w:rsidP="007A0AAB">
      <w:pPr>
        <w:pStyle w:val="a3"/>
        <w:ind w:firstLineChars="239" w:firstLine="574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• відділенням на автоцистерні з чисельністю </w:t>
      </w:r>
      <w:r w:rsidRPr="006E0818">
        <w:rPr>
          <w:lang w:val="uk-UA"/>
        </w:rPr>
        <w:t>оперативного</w:t>
      </w:r>
      <w:r w:rsidRPr="006E0818">
        <w:rPr>
          <w:lang w:val="uk-UA" w:eastAsia="uk-UA"/>
        </w:rPr>
        <w:t xml:space="preserve"> розрахунку від одного до шести осіб (АЦ-40 (43253) 247.02, АЦ-40 (432921) 63Б.02.</w:t>
      </w:r>
    </w:p>
    <w:p w:rsidR="007A0AAB" w:rsidRPr="006E0818" w:rsidRDefault="007A0AAB" w:rsidP="007A0AAB">
      <w:pPr>
        <w:pStyle w:val="a3"/>
        <w:ind w:firstLineChars="239" w:firstLine="574"/>
        <w:jc w:val="both"/>
        <w:rPr>
          <w:lang w:val="uk-UA" w:eastAsia="uk-UA"/>
        </w:rPr>
      </w:pPr>
      <w:r w:rsidRPr="006E0818">
        <w:rPr>
          <w:lang w:val="uk-UA" w:eastAsia="uk-UA"/>
        </w:rPr>
        <w:t>Довірчий інтервал (Δ</w:t>
      </w:r>
      <w:r w:rsidRPr="006E0818">
        <w:rPr>
          <w:i/>
          <w:iCs/>
          <w:w w:val="109"/>
          <w:lang w:val="uk-UA" w:eastAsia="uk-UA"/>
        </w:rPr>
        <w:t xml:space="preserve">Q), </w:t>
      </w:r>
      <w:r w:rsidRPr="006E0818">
        <w:rPr>
          <w:lang w:val="uk-UA" w:eastAsia="uk-UA"/>
        </w:rPr>
        <w:t xml:space="preserve">що гарантує 95% вірогідність виконання </w:t>
      </w:r>
      <w:r w:rsidRPr="006E0818">
        <w:rPr>
          <w:lang w:val="uk-UA" w:eastAsia="uk-UA"/>
        </w:rPr>
        <w:lastRenderedPageBreak/>
        <w:t>прийнятого нормативу розрахований по формулі:</w:t>
      </w:r>
    </w:p>
    <w:p w:rsidR="007A0AAB" w:rsidRPr="006E0818" w:rsidRDefault="007A0AAB" w:rsidP="007A0AAB">
      <w:pPr>
        <w:pStyle w:val="a3"/>
        <w:ind w:firstLineChars="414" w:firstLine="994"/>
        <w:jc w:val="both"/>
        <w:rPr>
          <w:lang w:val="uk-UA"/>
        </w:rPr>
      </w:pPr>
    </w:p>
    <w:p w:rsidR="007A0AAB" w:rsidRPr="006E0818" w:rsidRDefault="007A0AAB" w:rsidP="007A0AAB">
      <w:pPr>
        <w:pStyle w:val="a3"/>
        <w:ind w:firstLineChars="414" w:firstLine="994"/>
        <w:jc w:val="right"/>
        <w:rPr>
          <w:lang w:val="uk-UA" w:eastAsia="uk-UA"/>
        </w:rPr>
      </w:pPr>
      <m:oMath>
        <m:r>
          <w:rPr>
            <w:rFonts w:ascii="Cambria Math" w:hAnsi="Cambria Math"/>
            <w:lang w:val="uk-UA" w:eastAsia="uk-UA"/>
          </w:rPr>
          <m:t>∆Q=t</m:t>
        </m:r>
        <m:f>
          <m:fPr>
            <m:ctrlPr>
              <w:rPr>
                <w:rFonts w:ascii="Cambria Math" w:hAnsi="Cambria Math"/>
                <w:i/>
                <w:lang w:val="uk-UA" w:eastAsia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uk-UA" w:eastAsia="uk-UA"/>
                  </w:rPr>
                </m:ctrlPr>
              </m:sSubPr>
              <m:e>
                <m:r>
                  <w:rPr>
                    <w:rFonts w:ascii="Cambria Math" w:hAnsi="Cambria Math"/>
                    <w:lang w:val="uk-UA" w:eastAsia="uk-UA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uk-UA" w:eastAsia="uk-UA"/>
                  </w:rPr>
                  <m:t>Q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uk-UA" w:eastAsia="uk-UA"/>
                  </w:rPr>
                  <m:t>N</m:t>
                </m:r>
              </m:e>
            </m:rad>
          </m:den>
        </m:f>
        <m:r>
          <w:rPr>
            <w:rFonts w:ascii="Cambria Math" w:hAnsi="Cambria Math"/>
            <w:lang w:val="uk-UA" w:eastAsia="uk-UA"/>
          </w:rPr>
          <m:t>=</m:t>
        </m:r>
        <m:f>
          <m:fPr>
            <m:ctrlPr>
              <w:rPr>
                <w:rFonts w:ascii="Cambria Math" w:hAnsi="Cambria Math"/>
                <w:i/>
                <w:lang w:val="uk-UA" w:eastAsia="uk-UA"/>
              </w:rPr>
            </m:ctrlPr>
          </m:fPr>
          <m:num>
            <m:r>
              <w:rPr>
                <w:rFonts w:ascii="Cambria Math" w:hAnsi="Cambria Math"/>
                <w:lang w:val="uk-UA" w:eastAsia="uk-UA"/>
              </w:rPr>
              <m:t>1,64∙7,1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uk-UA" w:eastAsia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uk-UA" w:eastAsia="uk-UA"/>
                  </w:rPr>
                  <m:t>180</m:t>
                </m:r>
              </m:e>
            </m:rad>
          </m:den>
        </m:f>
        <m:r>
          <w:rPr>
            <w:rFonts w:ascii="Cambria Math" w:hAnsi="Cambria Math"/>
            <w:lang w:val="uk-UA" w:eastAsia="uk-UA"/>
          </w:rPr>
          <m:t>=0,87</m:t>
        </m:r>
      </m:oMath>
      <w:r w:rsidRPr="006E0818">
        <w:rPr>
          <w:lang w:val="uk-UA" w:eastAsia="uk-UA"/>
        </w:rPr>
        <w:tab/>
      </w:r>
      <w:r w:rsidRPr="006E0818">
        <w:rPr>
          <w:lang w:val="uk-UA" w:eastAsia="uk-UA"/>
        </w:rPr>
        <w:tab/>
      </w:r>
      <w:r w:rsidRPr="006E0818">
        <w:rPr>
          <w:lang w:val="uk-UA" w:eastAsia="uk-UA"/>
        </w:rPr>
        <w:tab/>
      </w:r>
      <w:r w:rsidRPr="006E0818">
        <w:rPr>
          <w:lang w:val="uk-UA" w:eastAsia="uk-UA"/>
        </w:rPr>
        <w:tab/>
        <w:t>(2)</w:t>
      </w:r>
    </w:p>
    <w:p w:rsidR="007A0AAB" w:rsidRPr="006E0818" w:rsidRDefault="007A0AAB" w:rsidP="007A0AAB">
      <w:pPr>
        <w:pStyle w:val="a3"/>
        <w:ind w:firstLineChars="414" w:firstLine="994"/>
        <w:jc w:val="right"/>
        <w:rPr>
          <w:lang w:val="uk-UA" w:eastAsia="uk-UA"/>
        </w:rPr>
      </w:pP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По формулі (2) визначена рекомендована нормативна величина витрати води, яку можуть вводити підрозділи при відповідній чисельності </w:t>
      </w:r>
      <w:r w:rsidRPr="006E0818">
        <w:rPr>
          <w:lang w:val="uk-UA"/>
        </w:rPr>
        <w:t>оперативних</w:t>
      </w:r>
      <w:r w:rsidRPr="006E0818">
        <w:rPr>
          <w:lang w:val="uk-UA" w:eastAsia="uk-UA"/>
        </w:rPr>
        <w:t xml:space="preserve"> розрахунків і кількості працюючих стволів. Розрахункова формула за визначенням рекомендованих нормативних витрат води має вигляд:</w:t>
      </w:r>
    </w:p>
    <w:p w:rsidR="007A0AAB" w:rsidRPr="006E0818" w:rsidRDefault="007A0AAB" w:rsidP="007A0AAB">
      <w:pPr>
        <w:pStyle w:val="a3"/>
        <w:ind w:firstLineChars="414" w:firstLine="994"/>
        <w:jc w:val="both"/>
        <w:rPr>
          <w:lang w:val="uk-UA" w:eastAsia="uk-UA"/>
        </w:rPr>
      </w:pPr>
    </w:p>
    <w:p w:rsidR="007A0AAB" w:rsidRPr="006E0818" w:rsidRDefault="007A0AAB" w:rsidP="007A0AAB">
      <w:pPr>
        <w:pStyle w:val="a3"/>
        <w:ind w:firstLineChars="414" w:firstLine="994"/>
        <w:jc w:val="right"/>
        <w:rPr>
          <w:lang w:val="uk-UA" w:eastAsia="uk-UA"/>
        </w:rPr>
      </w:pPr>
      <m:oMath>
        <m:r>
          <w:rPr>
            <w:rFonts w:ascii="Cambria Math" w:hAnsi="Cambria Math"/>
            <w:lang w:val="uk-UA" w:eastAsia="uk-UA"/>
          </w:rPr>
          <m:t>Q=2,23+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 w:eastAsia="uk-UA"/>
              </w:rPr>
            </m:ctrlPr>
          </m:dPr>
          <m:e>
            <m:r>
              <w:rPr>
                <w:rFonts w:ascii="Cambria Math" w:hAnsi="Cambria Math"/>
                <w:lang w:val="uk-UA" w:eastAsia="uk-UA"/>
              </w:rPr>
              <m:t>0,09</m:t>
            </m:r>
            <m:d>
              <m:dPr>
                <m:ctrlPr>
                  <w:rPr>
                    <w:rFonts w:ascii="Cambria Math" w:hAnsi="Cambria Math"/>
                    <w:i/>
                    <w:lang w:val="uk-UA" w:eastAsia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uk-UA" w:eastAsia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 w:eastAsia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 w:eastAsia="uk-U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 w:eastAsia="uk-UA"/>
                          </w:rPr>
                          <m:t>осіб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uk-UA" w:eastAsia="uk-UA"/>
                      </w:rPr>
                      <m:t>4,5</m:t>
                    </m:r>
                  </m:den>
                </m:f>
              </m:e>
            </m:d>
            <m:r>
              <w:rPr>
                <w:rFonts w:ascii="Cambria Math" w:hAnsi="Cambria Math"/>
                <w:lang w:val="uk-UA" w:eastAsia="uk-UA"/>
              </w:rPr>
              <m:t>+0,72</m:t>
            </m:r>
            <m:d>
              <m:dPr>
                <m:ctrlPr>
                  <w:rPr>
                    <w:rFonts w:ascii="Cambria Math" w:hAnsi="Cambria Math"/>
                    <w:i/>
                    <w:lang w:val="uk-UA" w:eastAsia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uk-UA" w:eastAsia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 w:eastAsia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 w:eastAsia="uk-U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 w:eastAsia="uk-UA"/>
                          </w:rPr>
                          <m:t>ств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uk-UA" w:eastAsia="uk-UA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  <w:lang w:val="uk-UA" w:eastAsia="uk-UA"/>
          </w:rPr>
          <m:t>7,1</m:t>
        </m:r>
      </m:oMath>
      <w:r w:rsidRPr="006E0818">
        <w:rPr>
          <w:lang w:val="uk-UA" w:eastAsia="uk-UA"/>
        </w:rPr>
        <w:tab/>
      </w:r>
      <w:r w:rsidRPr="006E0818">
        <w:rPr>
          <w:lang w:val="uk-UA" w:eastAsia="uk-UA"/>
        </w:rPr>
        <w:tab/>
      </w:r>
      <w:r w:rsidRPr="006E0818">
        <w:rPr>
          <w:lang w:val="uk-UA" w:eastAsia="uk-UA"/>
        </w:rPr>
        <w:tab/>
        <w:t>(3)</w:t>
      </w:r>
    </w:p>
    <w:p w:rsidR="007A0AAB" w:rsidRPr="006E0818" w:rsidRDefault="007A0AAB" w:rsidP="007A0AAB">
      <w:pPr>
        <w:pStyle w:val="a3"/>
        <w:ind w:firstLineChars="414" w:firstLine="994"/>
        <w:jc w:val="both"/>
        <w:rPr>
          <w:lang w:val="uk-UA"/>
        </w:rPr>
      </w:pPr>
    </w:p>
    <w:p w:rsidR="007A0AAB" w:rsidRPr="006E0818" w:rsidRDefault="007A0AAB" w:rsidP="007A0AAB">
      <w:pPr>
        <w:pStyle w:val="a3"/>
        <w:ind w:firstLineChars="253" w:firstLine="607"/>
        <w:jc w:val="both"/>
        <w:rPr>
          <w:lang w:val="uk-UA" w:eastAsia="uk-UA"/>
        </w:rPr>
      </w:pPr>
      <w:r w:rsidRPr="006E0818">
        <w:rPr>
          <w:lang w:val="uk-UA" w:eastAsia="uk-UA"/>
        </w:rPr>
        <w:t xml:space="preserve">Наприклад, підставляючи в дану формулу фактичну чисельність </w:t>
      </w:r>
      <w:r w:rsidRPr="006E0818">
        <w:rPr>
          <w:lang w:val="uk-UA"/>
        </w:rPr>
        <w:t>оперативного</w:t>
      </w:r>
      <w:r w:rsidRPr="006E0818">
        <w:rPr>
          <w:lang w:val="uk-UA" w:eastAsia="uk-UA"/>
        </w:rPr>
        <w:t xml:space="preserve"> розрахунку відділення, що дорівнює трьом номерам </w:t>
      </w:r>
      <w:r w:rsidRPr="006E0818">
        <w:rPr>
          <w:lang w:val="uk-UA"/>
        </w:rPr>
        <w:t>оперативного</w:t>
      </w:r>
      <w:r w:rsidRPr="006E0818">
        <w:rPr>
          <w:lang w:val="uk-UA" w:eastAsia="uk-UA"/>
        </w:rPr>
        <w:t xml:space="preserve"> розрахунку і, враховуючи можливість подавання одного ствола РС-70 із скрученим насадком (у перерахунку на три ствола РСК-50), знаходимо, що підрозділ може подати максимум </w:t>
      </w:r>
      <w:proofErr w:type="spellStart"/>
      <w:r w:rsidRPr="006E0818">
        <w:rPr>
          <w:lang w:val="uk-UA" w:eastAsia="uk-UA"/>
        </w:rPr>
        <w:t>Qmax</w:t>
      </w:r>
      <w:proofErr w:type="spellEnd"/>
      <w:r w:rsidRPr="006E0818">
        <w:rPr>
          <w:lang w:val="uk-UA" w:eastAsia="uk-UA"/>
        </w:rPr>
        <w:t xml:space="preserve"> =</w:t>
      </w:r>
      <w:r w:rsidRPr="006E0818">
        <w:rPr>
          <w:w w:val="130"/>
          <w:lang w:val="uk-UA" w:eastAsia="uk-UA"/>
        </w:rPr>
        <w:t xml:space="preserve"> </w:t>
      </w:r>
      <w:r w:rsidRPr="006E0818">
        <w:rPr>
          <w:lang w:val="uk-UA" w:eastAsia="uk-UA"/>
        </w:rPr>
        <w:t>10,5 л</w:t>
      </w:r>
      <w:r w:rsidRPr="006E0818">
        <w:rPr>
          <w:iCs/>
          <w:lang w:val="uk-UA" w:eastAsia="uk-UA"/>
        </w:rPr>
        <w:t>/с</w:t>
      </w:r>
      <w:r w:rsidRPr="006E0818">
        <w:rPr>
          <w:lang w:val="uk-UA" w:eastAsia="uk-UA"/>
        </w:rPr>
        <w:t xml:space="preserve">. </w:t>
      </w:r>
    </w:p>
    <w:p w:rsidR="007A0AAB" w:rsidRPr="006E0818" w:rsidRDefault="007A0AAB" w:rsidP="007A0AAB">
      <w:pPr>
        <w:spacing w:after="0" w:line="240" w:lineRule="auto"/>
        <w:ind w:firstLine="709"/>
        <w:rPr>
          <w:sz w:val="24"/>
          <w:lang w:val="uk-UA"/>
        </w:rPr>
      </w:pPr>
    </w:p>
    <w:p w:rsidR="007A0AAB" w:rsidRPr="006E0818" w:rsidRDefault="007A0AAB" w:rsidP="007A0AAB">
      <w:pPr>
        <w:spacing w:after="0" w:line="240" w:lineRule="auto"/>
        <w:jc w:val="center"/>
        <w:rPr>
          <w:b/>
          <w:sz w:val="24"/>
          <w:lang w:val="uk-UA"/>
        </w:rPr>
      </w:pPr>
      <w:r w:rsidRPr="006E0818">
        <w:rPr>
          <w:b/>
          <w:sz w:val="24"/>
          <w:lang w:val="uk-UA"/>
        </w:rPr>
        <w:t>ЛІТЕРАТУРА</w:t>
      </w:r>
    </w:p>
    <w:p w:rsidR="007A0AAB" w:rsidRPr="006E0818" w:rsidRDefault="007A0AAB" w:rsidP="007A0AAB">
      <w:pPr>
        <w:widowControl w:val="0"/>
        <w:numPr>
          <w:ilvl w:val="0"/>
          <w:numId w:val="1"/>
        </w:numPr>
        <w:shd w:val="clear" w:color="auto" w:fill="FFFFFF"/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 w:right="26" w:firstLine="709"/>
        <w:rPr>
          <w:sz w:val="20"/>
          <w:lang w:val="uk-UA"/>
        </w:rPr>
      </w:pPr>
      <w:proofErr w:type="spellStart"/>
      <w:r w:rsidRPr="006E0818">
        <w:rPr>
          <w:sz w:val="24"/>
          <w:szCs w:val="28"/>
          <w:lang w:val="uk-UA"/>
        </w:rPr>
        <w:t>Маладика</w:t>
      </w:r>
      <w:proofErr w:type="spellEnd"/>
      <w:r w:rsidRPr="006E0818">
        <w:rPr>
          <w:sz w:val="24"/>
          <w:szCs w:val="28"/>
          <w:lang w:val="uk-UA"/>
        </w:rPr>
        <w:t xml:space="preserve"> І.Г., Дендаренко Ю.Ю., </w:t>
      </w:r>
      <w:proofErr w:type="spellStart"/>
      <w:r w:rsidRPr="006E0818">
        <w:rPr>
          <w:sz w:val="24"/>
          <w:szCs w:val="28"/>
          <w:lang w:val="uk-UA"/>
        </w:rPr>
        <w:t>Мирошник</w:t>
      </w:r>
      <w:proofErr w:type="spellEnd"/>
      <w:r w:rsidRPr="006E0818">
        <w:rPr>
          <w:sz w:val="24"/>
          <w:szCs w:val="28"/>
          <w:lang w:val="uk-UA"/>
        </w:rPr>
        <w:t xml:space="preserve"> О.М., </w:t>
      </w:r>
      <w:proofErr w:type="spellStart"/>
      <w:r w:rsidRPr="006E0818">
        <w:rPr>
          <w:sz w:val="24"/>
          <w:szCs w:val="28"/>
          <w:lang w:val="uk-UA"/>
        </w:rPr>
        <w:t>Биченко</w:t>
      </w:r>
      <w:proofErr w:type="spellEnd"/>
      <w:r w:rsidRPr="006E0818">
        <w:rPr>
          <w:sz w:val="24"/>
          <w:szCs w:val="28"/>
          <w:lang w:val="uk-UA"/>
        </w:rPr>
        <w:t> А.О., Федоренко Д.С., Словінський В.К. та ін. Довідник керівника гасіння пожежі. – Український науково-дослідний інститут цивільного захисту. – Київ: ТОВ «Літера-Друк», 2016, - 320 с.</w:t>
      </w:r>
    </w:p>
    <w:p w:rsidR="007A0AAB" w:rsidRPr="006E0818" w:rsidRDefault="0047014A" w:rsidP="007A0AAB">
      <w:pPr>
        <w:widowControl w:val="0"/>
        <w:numPr>
          <w:ilvl w:val="0"/>
          <w:numId w:val="1"/>
        </w:numPr>
        <w:shd w:val="clear" w:color="auto" w:fill="FFFFFF"/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 w:right="26" w:firstLine="709"/>
        <w:rPr>
          <w:spacing w:val="-21"/>
          <w:sz w:val="24"/>
          <w:szCs w:val="28"/>
          <w:lang w:val="uk-UA"/>
        </w:rPr>
      </w:pPr>
      <w:r w:rsidRPr="006E0818">
        <w:rPr>
          <w:bCs/>
          <w:sz w:val="24"/>
          <w:szCs w:val="24"/>
          <w:shd w:val="clear" w:color="auto" w:fill="FFFFFF"/>
          <w:lang w:val="uk-UA"/>
        </w:rPr>
        <w:t xml:space="preserve">Про затвердження Нормативів виконання навчальних вправ з підготовки осіб рядового і начальницького складу служби цивільного захисту та працівників </w:t>
      </w:r>
      <w:proofErr w:type="spellStart"/>
      <w:r w:rsidRPr="006E0818">
        <w:rPr>
          <w:bCs/>
          <w:sz w:val="24"/>
          <w:szCs w:val="24"/>
          <w:shd w:val="clear" w:color="auto" w:fill="FFFFFF"/>
          <w:lang w:val="uk-UA"/>
        </w:rPr>
        <w:t>Оперативно</w:t>
      </w:r>
      <w:proofErr w:type="spellEnd"/>
      <w:r w:rsidRPr="006E0818">
        <w:rPr>
          <w:bCs/>
          <w:sz w:val="24"/>
          <w:szCs w:val="24"/>
          <w:shd w:val="clear" w:color="auto" w:fill="FFFFFF"/>
          <w:lang w:val="uk-UA"/>
        </w:rPr>
        <w:t xml:space="preserve">-рятувальної служби цивільного захисту ДСНС України до виконання завдань за призначенням. </w:t>
      </w:r>
      <w:r w:rsidRPr="006E0818">
        <w:rPr>
          <w:rFonts w:eastAsia="Times New Roman"/>
          <w:bCs/>
          <w:sz w:val="24"/>
          <w:szCs w:val="24"/>
          <w:lang w:val="uk-UA" w:eastAsia="ru-RU"/>
        </w:rPr>
        <w:t xml:space="preserve">Наказ міністерства внутрішніх справ України від 20.11.2015  № 1470. [Електронний варіант] – Режим доступу </w:t>
      </w:r>
      <w:hyperlink r:id="rId6" w:history="1">
        <w:r w:rsidRPr="006E0818">
          <w:rPr>
            <w:rStyle w:val="a6"/>
            <w:color w:val="auto"/>
            <w:sz w:val="24"/>
            <w:szCs w:val="24"/>
            <w:u w:val="none"/>
            <w:lang w:val="uk-UA"/>
          </w:rPr>
          <w:t>https://zakon.rada.gov.ua/laws/show/z1528-15</w:t>
        </w:r>
      </w:hyperlink>
      <w:r w:rsidRPr="006E0818">
        <w:rPr>
          <w:sz w:val="24"/>
          <w:szCs w:val="24"/>
          <w:lang w:val="uk-UA"/>
        </w:rPr>
        <w:t>.</w:t>
      </w:r>
    </w:p>
    <w:p w:rsidR="007A0AAB" w:rsidRPr="006E0818" w:rsidRDefault="00ED6F44" w:rsidP="007A0AAB">
      <w:pPr>
        <w:widowControl w:val="0"/>
        <w:numPr>
          <w:ilvl w:val="0"/>
          <w:numId w:val="1"/>
        </w:numPr>
        <w:shd w:val="clear" w:color="auto" w:fill="FFFFFF"/>
        <w:tabs>
          <w:tab w:val="left" w:pos="-1701"/>
          <w:tab w:val="left" w:pos="993"/>
        </w:tabs>
        <w:autoSpaceDE w:val="0"/>
        <w:autoSpaceDN w:val="0"/>
        <w:adjustRightInd w:val="0"/>
        <w:spacing w:after="0" w:line="240" w:lineRule="auto"/>
        <w:ind w:left="0" w:right="26" w:firstLine="709"/>
        <w:rPr>
          <w:spacing w:val="-21"/>
          <w:sz w:val="24"/>
          <w:szCs w:val="28"/>
          <w:lang w:val="uk-UA"/>
        </w:rPr>
      </w:pPr>
      <w:proofErr w:type="spellStart"/>
      <w:r w:rsidRPr="006E0818">
        <w:rPr>
          <w:sz w:val="24"/>
          <w:szCs w:val="24"/>
          <w:lang w:val="uk-UA"/>
        </w:rPr>
        <w:t>Бужин</w:t>
      </w:r>
      <w:proofErr w:type="spellEnd"/>
      <w:r w:rsidRPr="006E0818">
        <w:rPr>
          <w:sz w:val="24"/>
          <w:szCs w:val="24"/>
          <w:lang w:val="uk-UA"/>
        </w:rPr>
        <w:t xml:space="preserve"> </w:t>
      </w:r>
      <w:r w:rsidRPr="006E0818">
        <w:rPr>
          <w:sz w:val="24"/>
          <w:szCs w:val="24"/>
          <w:lang w:val="uk-UA"/>
        </w:rPr>
        <w:t>О</w:t>
      </w:r>
      <w:r w:rsidRPr="006E0818">
        <w:rPr>
          <w:sz w:val="24"/>
          <w:szCs w:val="24"/>
          <w:lang w:val="uk-UA"/>
        </w:rPr>
        <w:t>.А., Дендаренко Ю.Ю., Сенчих</w:t>
      </w:r>
      <w:r w:rsidRPr="006E0818">
        <w:rPr>
          <w:sz w:val="24"/>
          <w:szCs w:val="24"/>
          <w:lang w:val="uk-UA"/>
        </w:rPr>
        <w:t>і</w:t>
      </w:r>
      <w:r w:rsidRPr="006E0818">
        <w:rPr>
          <w:sz w:val="24"/>
          <w:szCs w:val="24"/>
          <w:lang w:val="uk-UA"/>
        </w:rPr>
        <w:t>н Ю.</w:t>
      </w:r>
      <w:r w:rsidRPr="006E0818">
        <w:rPr>
          <w:sz w:val="24"/>
          <w:szCs w:val="24"/>
          <w:lang w:val="uk-UA"/>
        </w:rPr>
        <w:t>М</w:t>
      </w:r>
      <w:r w:rsidRPr="006E0818">
        <w:rPr>
          <w:sz w:val="24"/>
          <w:szCs w:val="24"/>
          <w:lang w:val="uk-UA"/>
        </w:rPr>
        <w:t>. Методика оц</w:t>
      </w:r>
      <w:r w:rsidRPr="006E0818">
        <w:rPr>
          <w:sz w:val="24"/>
          <w:szCs w:val="24"/>
          <w:lang w:val="uk-UA"/>
        </w:rPr>
        <w:t>і</w:t>
      </w:r>
      <w:r w:rsidRPr="006E0818">
        <w:rPr>
          <w:sz w:val="24"/>
          <w:szCs w:val="24"/>
          <w:lang w:val="uk-UA"/>
        </w:rPr>
        <w:t>нки орган</w:t>
      </w:r>
      <w:r w:rsidRPr="006E0818">
        <w:rPr>
          <w:sz w:val="24"/>
          <w:szCs w:val="24"/>
          <w:lang w:val="uk-UA"/>
        </w:rPr>
        <w:t>і</w:t>
      </w:r>
      <w:r w:rsidRPr="006E0818">
        <w:rPr>
          <w:sz w:val="24"/>
          <w:szCs w:val="24"/>
          <w:lang w:val="uk-UA"/>
        </w:rPr>
        <w:t>зац</w:t>
      </w:r>
      <w:r w:rsidRPr="006E0818">
        <w:rPr>
          <w:sz w:val="24"/>
          <w:szCs w:val="24"/>
          <w:lang w:val="uk-UA"/>
        </w:rPr>
        <w:t>ійно</w:t>
      </w:r>
      <w:r w:rsidRPr="006E0818">
        <w:rPr>
          <w:sz w:val="24"/>
          <w:szCs w:val="24"/>
          <w:lang w:val="uk-UA"/>
        </w:rPr>
        <w:t>-</w:t>
      </w:r>
      <w:r w:rsidRPr="006E0818">
        <w:rPr>
          <w:sz w:val="24"/>
          <w:szCs w:val="24"/>
          <w:lang w:val="uk-UA"/>
        </w:rPr>
        <w:t>функціональної</w:t>
      </w:r>
      <w:r w:rsidRPr="006E0818">
        <w:rPr>
          <w:sz w:val="24"/>
          <w:szCs w:val="24"/>
          <w:lang w:val="uk-UA"/>
        </w:rPr>
        <w:t xml:space="preserve"> </w:t>
      </w:r>
      <w:r w:rsidRPr="006E0818">
        <w:rPr>
          <w:sz w:val="24"/>
          <w:szCs w:val="24"/>
          <w:lang w:val="uk-UA"/>
        </w:rPr>
        <w:t>ефективності</w:t>
      </w:r>
      <w:r w:rsidRPr="006E0818">
        <w:rPr>
          <w:sz w:val="24"/>
          <w:szCs w:val="24"/>
          <w:lang w:val="uk-UA"/>
        </w:rPr>
        <w:t xml:space="preserve"> </w:t>
      </w:r>
      <w:r w:rsidRPr="006E0818">
        <w:rPr>
          <w:sz w:val="24"/>
          <w:szCs w:val="24"/>
          <w:lang w:val="uk-UA"/>
        </w:rPr>
        <w:t>пожежно-рятувальних підрозділів</w:t>
      </w:r>
      <w:r w:rsidRPr="006E0818">
        <w:rPr>
          <w:sz w:val="24"/>
          <w:szCs w:val="24"/>
          <w:lang w:val="uk-UA"/>
        </w:rPr>
        <w:t xml:space="preserve"> </w:t>
      </w:r>
      <w:r w:rsidRPr="006E0818">
        <w:rPr>
          <w:sz w:val="24"/>
          <w:szCs w:val="24"/>
          <w:lang w:val="uk-UA"/>
        </w:rPr>
        <w:t>під час гасіння пожеж</w:t>
      </w:r>
      <w:r w:rsidRPr="006E0818">
        <w:rPr>
          <w:sz w:val="24"/>
          <w:szCs w:val="24"/>
          <w:lang w:val="uk-UA"/>
        </w:rPr>
        <w:t xml:space="preserve"> // </w:t>
      </w:r>
      <w:proofErr w:type="spellStart"/>
      <w:r w:rsidRPr="006E0818">
        <w:rPr>
          <w:sz w:val="24"/>
          <w:szCs w:val="24"/>
          <w:shd w:val="clear" w:color="auto" w:fill="FFFFFF"/>
          <w:lang w:val="uk-UA"/>
        </w:rPr>
        <w:t>Проблемы</w:t>
      </w:r>
      <w:proofErr w:type="spellEnd"/>
      <w:r w:rsidRPr="006E0818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E0818">
        <w:rPr>
          <w:sz w:val="24"/>
          <w:szCs w:val="24"/>
          <w:shd w:val="clear" w:color="auto" w:fill="FFFFFF"/>
          <w:lang w:val="uk-UA"/>
        </w:rPr>
        <w:t>пожарной</w:t>
      </w:r>
      <w:proofErr w:type="spellEnd"/>
      <w:r w:rsidRPr="006E0818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E0818">
        <w:rPr>
          <w:sz w:val="24"/>
          <w:szCs w:val="24"/>
          <w:shd w:val="clear" w:color="auto" w:fill="FFFFFF"/>
          <w:lang w:val="uk-UA"/>
        </w:rPr>
        <w:t>безопасности</w:t>
      </w:r>
      <w:proofErr w:type="spellEnd"/>
      <w:r w:rsidRPr="006E0818">
        <w:rPr>
          <w:sz w:val="24"/>
          <w:szCs w:val="24"/>
          <w:shd w:val="clear" w:color="auto" w:fill="FFFFFF"/>
          <w:lang w:val="uk-UA"/>
        </w:rPr>
        <w:t>.</w:t>
      </w:r>
      <w:r w:rsidRPr="006E0818">
        <w:rPr>
          <w:rStyle w:val="apple-converted-space"/>
          <w:sz w:val="24"/>
          <w:szCs w:val="24"/>
          <w:shd w:val="clear" w:color="auto" w:fill="FFFFFF"/>
          <w:lang w:val="uk-UA"/>
        </w:rPr>
        <w:t> </w:t>
      </w:r>
      <w:proofErr w:type="spellStart"/>
      <w:r w:rsidRPr="006E0818">
        <w:rPr>
          <w:sz w:val="24"/>
          <w:szCs w:val="24"/>
          <w:lang w:val="uk-UA"/>
        </w:rPr>
        <w:t>Сборник</w:t>
      </w:r>
      <w:proofErr w:type="spellEnd"/>
      <w:r w:rsidRPr="006E0818">
        <w:rPr>
          <w:sz w:val="24"/>
          <w:szCs w:val="24"/>
          <w:lang w:val="uk-UA"/>
        </w:rPr>
        <w:t xml:space="preserve"> </w:t>
      </w:r>
      <w:proofErr w:type="spellStart"/>
      <w:r w:rsidRPr="006E0818">
        <w:rPr>
          <w:sz w:val="24"/>
          <w:szCs w:val="24"/>
          <w:lang w:val="uk-UA"/>
        </w:rPr>
        <w:t>научных</w:t>
      </w:r>
      <w:proofErr w:type="spellEnd"/>
      <w:r w:rsidRPr="006E0818">
        <w:rPr>
          <w:sz w:val="24"/>
          <w:szCs w:val="24"/>
          <w:lang w:val="uk-UA"/>
        </w:rPr>
        <w:t xml:space="preserve"> </w:t>
      </w:r>
      <w:proofErr w:type="spellStart"/>
      <w:r w:rsidRPr="006E0818">
        <w:rPr>
          <w:sz w:val="24"/>
          <w:szCs w:val="24"/>
          <w:lang w:val="uk-UA"/>
        </w:rPr>
        <w:t>трудов</w:t>
      </w:r>
      <w:proofErr w:type="spellEnd"/>
      <w:r w:rsidRPr="006E0818">
        <w:rPr>
          <w:sz w:val="24"/>
          <w:szCs w:val="24"/>
          <w:lang w:val="uk-UA"/>
        </w:rPr>
        <w:t xml:space="preserve"> НУГЗУ. </w:t>
      </w:r>
      <w:proofErr w:type="spellStart"/>
      <w:r w:rsidRPr="006E0818">
        <w:rPr>
          <w:sz w:val="24"/>
          <w:szCs w:val="24"/>
          <w:lang w:val="uk-UA"/>
        </w:rPr>
        <w:t>Выпуск</w:t>
      </w:r>
      <w:proofErr w:type="spellEnd"/>
      <w:r w:rsidRPr="006E0818">
        <w:rPr>
          <w:sz w:val="24"/>
          <w:szCs w:val="24"/>
          <w:lang w:val="uk-UA"/>
        </w:rPr>
        <w:t xml:space="preserve"> 40, 2016. – С.44-47.</w:t>
      </w:r>
    </w:p>
    <w:p w:rsidR="00C41CCF" w:rsidRPr="006E0818" w:rsidRDefault="00C41CCF">
      <w:pPr>
        <w:rPr>
          <w:lang w:val="uk-UA"/>
        </w:rPr>
      </w:pPr>
    </w:p>
    <w:sectPr w:rsidR="00C41CCF" w:rsidRPr="006E0818" w:rsidSect="007A0AA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769D"/>
    <w:multiLevelType w:val="hybridMultilevel"/>
    <w:tmpl w:val="34A2B9AC"/>
    <w:lvl w:ilvl="0" w:tplc="81646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AB"/>
    <w:rsid w:val="00152ECA"/>
    <w:rsid w:val="0047014A"/>
    <w:rsid w:val="004D09EB"/>
    <w:rsid w:val="00640C6F"/>
    <w:rsid w:val="006D0812"/>
    <w:rsid w:val="006E0818"/>
    <w:rsid w:val="007A0AAB"/>
    <w:rsid w:val="00B207B7"/>
    <w:rsid w:val="00C41CCF"/>
    <w:rsid w:val="00C547B2"/>
    <w:rsid w:val="00D80655"/>
    <w:rsid w:val="00E25BA1"/>
    <w:rsid w:val="00E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B"/>
    <w:pPr>
      <w:jc w:val="both"/>
    </w:pPr>
    <w:rPr>
      <w:rFonts w:eastAsiaTheme="minorHAnsi" w:cstheme="minorBidi"/>
      <w:szCs w:val="22"/>
    </w:rPr>
  </w:style>
  <w:style w:type="paragraph" w:styleId="1">
    <w:name w:val="heading 1"/>
    <w:basedOn w:val="a"/>
    <w:next w:val="a"/>
    <w:link w:val="10"/>
    <w:qFormat/>
    <w:rsid w:val="00640C6F"/>
    <w:pPr>
      <w:keepNext/>
      <w:spacing w:after="0" w:line="240" w:lineRule="auto"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qFormat/>
    <w:rsid w:val="00640C6F"/>
    <w:pPr>
      <w:keepNext/>
      <w:spacing w:before="240" w:after="60" w:line="240" w:lineRule="auto"/>
      <w:outlineLvl w:val="1"/>
    </w:pPr>
    <w:rPr>
      <w:rFonts w:cs="Arial"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0C6F"/>
    <w:rPr>
      <w:b/>
      <w:lang w:eastAsia="ru-RU"/>
    </w:rPr>
  </w:style>
  <w:style w:type="character" w:customStyle="1" w:styleId="20">
    <w:name w:val="Заголовок 2 Знак"/>
    <w:link w:val="2"/>
    <w:rsid w:val="00640C6F"/>
    <w:rPr>
      <w:rFonts w:cs="Arial"/>
      <w:bCs/>
      <w:iCs/>
      <w:lang w:eastAsia="ru-RU"/>
    </w:rPr>
  </w:style>
  <w:style w:type="paragraph" w:customStyle="1" w:styleId="a3">
    <w:name w:val="Стиль"/>
    <w:rsid w:val="007A0A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AB"/>
    <w:rPr>
      <w:rFonts w:ascii="Tahoma" w:eastAsiaTheme="minorHAnsi" w:hAnsi="Tahoma" w:cs="Tahoma"/>
      <w:sz w:val="16"/>
      <w:szCs w:val="16"/>
    </w:rPr>
  </w:style>
  <w:style w:type="character" w:styleId="a6">
    <w:name w:val="Hyperlink"/>
    <w:uiPriority w:val="99"/>
    <w:unhideWhenUsed/>
    <w:rsid w:val="0047014A"/>
    <w:rPr>
      <w:color w:val="0000FF"/>
      <w:u w:val="single"/>
    </w:rPr>
  </w:style>
  <w:style w:type="character" w:customStyle="1" w:styleId="apple-converted-space">
    <w:name w:val="apple-converted-space"/>
    <w:rsid w:val="00ED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B"/>
    <w:pPr>
      <w:jc w:val="both"/>
    </w:pPr>
    <w:rPr>
      <w:rFonts w:eastAsiaTheme="minorHAnsi" w:cstheme="minorBidi"/>
      <w:szCs w:val="22"/>
    </w:rPr>
  </w:style>
  <w:style w:type="paragraph" w:styleId="1">
    <w:name w:val="heading 1"/>
    <w:basedOn w:val="a"/>
    <w:next w:val="a"/>
    <w:link w:val="10"/>
    <w:qFormat/>
    <w:rsid w:val="00640C6F"/>
    <w:pPr>
      <w:keepNext/>
      <w:spacing w:after="0" w:line="240" w:lineRule="auto"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qFormat/>
    <w:rsid w:val="00640C6F"/>
    <w:pPr>
      <w:keepNext/>
      <w:spacing w:before="240" w:after="60" w:line="240" w:lineRule="auto"/>
      <w:outlineLvl w:val="1"/>
    </w:pPr>
    <w:rPr>
      <w:rFonts w:cs="Arial"/>
      <w:bCs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0C6F"/>
    <w:rPr>
      <w:b/>
      <w:lang w:eastAsia="ru-RU"/>
    </w:rPr>
  </w:style>
  <w:style w:type="character" w:customStyle="1" w:styleId="20">
    <w:name w:val="Заголовок 2 Знак"/>
    <w:link w:val="2"/>
    <w:rsid w:val="00640C6F"/>
    <w:rPr>
      <w:rFonts w:cs="Arial"/>
      <w:bCs/>
      <w:iCs/>
      <w:lang w:eastAsia="ru-RU"/>
    </w:rPr>
  </w:style>
  <w:style w:type="paragraph" w:customStyle="1" w:styleId="a3">
    <w:name w:val="Стиль"/>
    <w:rsid w:val="007A0A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AAB"/>
    <w:rPr>
      <w:rFonts w:ascii="Tahoma" w:eastAsiaTheme="minorHAnsi" w:hAnsi="Tahoma" w:cs="Tahoma"/>
      <w:sz w:val="16"/>
      <w:szCs w:val="16"/>
    </w:rPr>
  </w:style>
  <w:style w:type="character" w:styleId="a6">
    <w:name w:val="Hyperlink"/>
    <w:uiPriority w:val="99"/>
    <w:unhideWhenUsed/>
    <w:rsid w:val="0047014A"/>
    <w:rPr>
      <w:color w:val="0000FF"/>
      <w:u w:val="single"/>
    </w:rPr>
  </w:style>
  <w:style w:type="character" w:customStyle="1" w:styleId="apple-converted-space">
    <w:name w:val="apple-converted-space"/>
    <w:rsid w:val="00ED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528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7</cp:revision>
  <dcterms:created xsi:type="dcterms:W3CDTF">2023-09-13T07:20:00Z</dcterms:created>
  <dcterms:modified xsi:type="dcterms:W3CDTF">2023-09-13T08:34:00Z</dcterms:modified>
</cp:coreProperties>
</file>